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BAA9B"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62ACA0DF"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13A47D6E"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86CA673"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6B3A5A2C"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38A2465E"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4724BB4"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6FCF2423"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14:paraId="78AA3432" w14:textId="77777777" w:rsidR="008A6F0A" w:rsidRPr="009E0D80" w:rsidRDefault="008A6F0A" w:rsidP="008A6F0A">
      <w:pPr>
        <w:spacing w:after="120" w:line="240" w:lineRule="auto"/>
        <w:rPr>
          <w:rFonts w:asciiTheme="minorHAnsi" w:hAnsiTheme="minorHAnsi" w:cs="Tahoma"/>
          <w:color w:val="FF0000"/>
        </w:rPr>
      </w:pPr>
    </w:p>
    <w:p w14:paraId="34A148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2A596F29"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440A48D1"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14:paraId="59985A5B" w14:textId="77777777" w:rsidR="008A6F0A" w:rsidRPr="009E0D80" w:rsidRDefault="008A6F0A" w:rsidP="008A6F0A">
      <w:pPr>
        <w:spacing w:after="0" w:line="240" w:lineRule="auto"/>
        <w:rPr>
          <w:rFonts w:asciiTheme="minorHAnsi" w:hAnsiTheme="minorHAnsi" w:cs="Tahoma"/>
          <w:b/>
          <w:sz w:val="20"/>
          <w:szCs w:val="20"/>
        </w:rPr>
      </w:pPr>
    </w:p>
    <w:p w14:paraId="44CF4C7F"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5FB66C24"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745F9045"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33BB63DA" w14:textId="77777777" w:rsidTr="00F93947">
        <w:tc>
          <w:tcPr>
            <w:tcW w:w="3168" w:type="dxa"/>
            <w:vAlign w:val="center"/>
          </w:tcPr>
          <w:p w14:paraId="112E9630" w14:textId="77777777"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14:paraId="4344714D"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49D6BC95" w14:textId="77777777" w:rsidTr="00F93947">
        <w:tc>
          <w:tcPr>
            <w:tcW w:w="3168" w:type="dxa"/>
            <w:vAlign w:val="center"/>
          </w:tcPr>
          <w:p w14:paraId="36F2639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BE4211B"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33D431D7" w14:textId="77777777" w:rsidTr="00F93947">
        <w:tc>
          <w:tcPr>
            <w:tcW w:w="3168" w:type="dxa"/>
            <w:vAlign w:val="center"/>
          </w:tcPr>
          <w:p w14:paraId="4E0D8DA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7900EEC0" w14:textId="77777777"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14:paraId="4506BC24" w14:textId="77777777" w:rsidTr="00F93947">
        <w:trPr>
          <w:trHeight w:val="273"/>
        </w:trPr>
        <w:tc>
          <w:tcPr>
            <w:tcW w:w="3168" w:type="dxa"/>
            <w:vAlign w:val="center"/>
          </w:tcPr>
          <w:p w14:paraId="6E88C2C5"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0FA4EC37"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1ED6E28B" w14:textId="77777777" w:rsidTr="00F93947">
        <w:tc>
          <w:tcPr>
            <w:tcW w:w="3168" w:type="dxa"/>
            <w:vAlign w:val="center"/>
          </w:tcPr>
          <w:p w14:paraId="2E6C99D4"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756314F"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0AE6EA0"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0283E7F0" w14:textId="77777777" w:rsidTr="00F93947">
        <w:tc>
          <w:tcPr>
            <w:tcW w:w="3168" w:type="dxa"/>
            <w:vAlign w:val="center"/>
          </w:tcPr>
          <w:p w14:paraId="34BD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6C1526F1"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1965836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666E0BFC"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26CEBB09"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43B0D414" w14:textId="77777777" w:rsidTr="00070E9B">
        <w:tc>
          <w:tcPr>
            <w:tcW w:w="3168" w:type="dxa"/>
          </w:tcPr>
          <w:p w14:paraId="63E9FEBE"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22DE9AE3"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0E8C47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14:paraId="0CC5E67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F265565"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CA6BD1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26A49C08" w14:textId="77777777" w:rsidTr="00070E9B">
        <w:tc>
          <w:tcPr>
            <w:tcW w:w="3168" w:type="dxa"/>
          </w:tcPr>
          <w:p w14:paraId="71C4C9F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2586277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4BC62610" w14:textId="77777777" w:rsidTr="00070E9B">
        <w:tc>
          <w:tcPr>
            <w:tcW w:w="3168" w:type="dxa"/>
          </w:tcPr>
          <w:p w14:paraId="1402A14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43F2918A"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57741C" w14:textId="77777777" w:rsidTr="00070E9B">
        <w:tc>
          <w:tcPr>
            <w:tcW w:w="3168" w:type="dxa"/>
          </w:tcPr>
          <w:p w14:paraId="0BAEFFD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539AA923"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17425D3" w14:textId="77777777" w:rsidTr="00070E9B">
        <w:tc>
          <w:tcPr>
            <w:tcW w:w="3168" w:type="dxa"/>
          </w:tcPr>
          <w:p w14:paraId="090E528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0581D925"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F117A6" w14:textId="77777777" w:rsidTr="00070E9B">
        <w:tc>
          <w:tcPr>
            <w:tcW w:w="3168" w:type="dxa"/>
          </w:tcPr>
          <w:p w14:paraId="3FDBF12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3BE8B4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741798DE" w14:textId="77777777" w:rsidTr="00070E9B">
        <w:tc>
          <w:tcPr>
            <w:tcW w:w="3168" w:type="dxa"/>
          </w:tcPr>
          <w:p w14:paraId="0F252FD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20A85027"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7367632" w14:textId="77777777" w:rsidTr="00070E9B">
        <w:tc>
          <w:tcPr>
            <w:tcW w:w="3168" w:type="dxa"/>
          </w:tcPr>
          <w:p w14:paraId="48507F6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334448B"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93B68D4" w14:textId="77777777" w:rsidTr="00070E9B">
        <w:tc>
          <w:tcPr>
            <w:tcW w:w="3168" w:type="dxa"/>
          </w:tcPr>
          <w:p w14:paraId="1F610CA5"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692EDD6C"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45F15D03"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578A21B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470CEF" w14:textId="77777777" w:rsidTr="00070E9B">
        <w:tc>
          <w:tcPr>
            <w:tcW w:w="3168" w:type="dxa"/>
          </w:tcPr>
          <w:p w14:paraId="27316B94"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14:paraId="2DF8C91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0CC812A8"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14:paraId="728064BC" w14:textId="77777777" w:rsidR="00BC23A2" w:rsidRDefault="00BC23A2" w:rsidP="008A6F0A">
      <w:pPr>
        <w:spacing w:after="0" w:line="240" w:lineRule="auto"/>
        <w:jc w:val="center"/>
        <w:rPr>
          <w:rFonts w:asciiTheme="minorHAnsi" w:hAnsiTheme="minorHAnsi" w:cs="Tahoma"/>
        </w:rPr>
      </w:pPr>
    </w:p>
    <w:p w14:paraId="42A578DB" w14:textId="77777777" w:rsidR="00BC23A2" w:rsidRDefault="00BC23A2" w:rsidP="008A6F0A">
      <w:pPr>
        <w:spacing w:after="0" w:line="240" w:lineRule="auto"/>
        <w:jc w:val="center"/>
        <w:rPr>
          <w:rFonts w:asciiTheme="minorHAnsi" w:hAnsiTheme="minorHAnsi" w:cs="Tahoma"/>
        </w:rPr>
      </w:pPr>
    </w:p>
    <w:p w14:paraId="611A4D70"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4919A066"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772B334E"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4F5C37C3" w14:textId="77777777" w:rsidR="008A6F0A" w:rsidRPr="00E26442" w:rsidRDefault="008A6F0A" w:rsidP="00E26442">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Tato smlouva je uzavřena na základě výsledku výběru pr</w:t>
      </w:r>
      <w:r w:rsidR="00BC23A2" w:rsidRPr="00E26442">
        <w:rPr>
          <w:rFonts w:asciiTheme="minorHAnsi" w:hAnsiTheme="minorHAnsi" w:cs="Tahoma"/>
          <w:sz w:val="20"/>
        </w:rPr>
        <w:t xml:space="preserve">ovedeného objednatelem v rámci veřejné </w:t>
      </w:r>
      <w:r w:rsidRPr="00E26442">
        <w:rPr>
          <w:rFonts w:asciiTheme="minorHAnsi" w:hAnsiTheme="minorHAnsi" w:cs="Tahoma"/>
          <w:sz w:val="20"/>
        </w:rPr>
        <w:t>zakázky s názvem „</w:t>
      </w:r>
      <w:r w:rsidR="00E26442" w:rsidRPr="00E26442">
        <w:rPr>
          <w:rFonts w:asciiTheme="minorHAnsi" w:hAnsiTheme="minorHAnsi" w:cs="Tahoma"/>
          <w:sz w:val="20"/>
        </w:rPr>
        <w:t>Realizace hydraulické clony pomocí ochranného čerpání za monitoringu vývoje kvality podzemních vod</w:t>
      </w:r>
      <w:r w:rsidRPr="00E26442">
        <w:rPr>
          <w:rFonts w:asciiTheme="minorHAnsi" w:hAnsiTheme="minorHAnsi" w:cs="Tahoma"/>
          <w:sz w:val="20"/>
        </w:rPr>
        <w:t xml:space="preserve">“ </w:t>
      </w:r>
      <w:r w:rsidR="00E26442" w:rsidRPr="00E26442">
        <w:rPr>
          <w:rFonts w:asciiTheme="minorHAnsi" w:hAnsiTheme="minorHAnsi" w:cs="Tahoma"/>
          <w:sz w:val="20"/>
        </w:rPr>
        <w:t>a její části I. nazvané „</w:t>
      </w:r>
      <w:bookmarkStart w:id="0" w:name="_Hlk103180737"/>
      <w:r w:rsidR="00E26442" w:rsidRPr="00E26442">
        <w:rPr>
          <w:rFonts w:asciiTheme="minorHAnsi" w:hAnsiTheme="minorHAnsi"/>
          <w:sz w:val="20"/>
          <w:szCs w:val="20"/>
        </w:rPr>
        <w:t xml:space="preserve">Stavba hydraulické clony ochranného čerpání podzemních vod v prameništi </w:t>
      </w:r>
      <w:proofErr w:type="spellStart"/>
      <w:r w:rsidR="00E26442" w:rsidRPr="00E26442">
        <w:rPr>
          <w:rFonts w:asciiTheme="minorHAnsi" w:hAnsiTheme="minorHAnsi"/>
          <w:sz w:val="20"/>
          <w:szCs w:val="20"/>
        </w:rPr>
        <w:t>Bědovice</w:t>
      </w:r>
      <w:bookmarkEnd w:id="0"/>
      <w:proofErr w:type="spellEnd"/>
      <w:r w:rsidR="00E26442" w:rsidRPr="00E26442">
        <w:rPr>
          <w:rFonts w:asciiTheme="minorHAnsi" w:hAnsiTheme="minorHAnsi"/>
          <w:sz w:val="20"/>
          <w:szCs w:val="20"/>
        </w:rPr>
        <w:t>“</w:t>
      </w:r>
      <w:r w:rsidR="00E26442" w:rsidRPr="00E26442">
        <w:rPr>
          <w:rFonts w:asciiTheme="minorHAnsi" w:hAnsiTheme="minorHAnsi" w:cs="Tahoma"/>
          <w:sz w:val="20"/>
        </w:rPr>
        <w:t xml:space="preserve"> </w:t>
      </w:r>
      <w:r w:rsidRPr="00E26442">
        <w:rPr>
          <w:rFonts w:asciiTheme="minorHAnsi" w:hAnsiTheme="minorHAnsi" w:cs="Tahoma"/>
          <w:sz w:val="20"/>
        </w:rPr>
        <w:t>(dále jen „</w:t>
      </w:r>
      <w:r w:rsidR="00BC23A2" w:rsidRPr="00E26442">
        <w:rPr>
          <w:rFonts w:asciiTheme="minorHAnsi" w:hAnsiTheme="minorHAnsi" w:cs="Tahoma"/>
          <w:b/>
          <w:i/>
          <w:sz w:val="20"/>
        </w:rPr>
        <w:t xml:space="preserve">veřejná </w:t>
      </w:r>
      <w:r w:rsidRPr="00E26442">
        <w:rPr>
          <w:rFonts w:asciiTheme="minorHAnsi" w:hAnsiTheme="minorHAnsi" w:cs="Tahoma"/>
          <w:b/>
          <w:i/>
          <w:sz w:val="20"/>
        </w:rPr>
        <w:t>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zhotovitele vybrána jako nejvhodnější. </w:t>
      </w:r>
    </w:p>
    <w:p w14:paraId="1FD41A92" w14:textId="77777777"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270C07A4"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14:paraId="138DE5B0" w14:textId="77777777" w:rsidR="008A6F0A" w:rsidRPr="009E0D80" w:rsidRDefault="008A6F0A" w:rsidP="008A6F0A">
      <w:pPr>
        <w:spacing w:after="0" w:line="240" w:lineRule="auto"/>
        <w:jc w:val="center"/>
        <w:rPr>
          <w:rFonts w:asciiTheme="minorHAnsi" w:hAnsiTheme="minorHAnsi" w:cs="Tahoma"/>
        </w:rPr>
      </w:pPr>
    </w:p>
    <w:p w14:paraId="45B152E0" w14:textId="77777777" w:rsidR="008A6F0A" w:rsidRPr="009E0D80" w:rsidRDefault="008A6F0A" w:rsidP="008A6F0A">
      <w:pPr>
        <w:spacing w:after="0" w:line="240" w:lineRule="auto"/>
        <w:rPr>
          <w:rFonts w:asciiTheme="minorHAnsi" w:hAnsiTheme="minorHAnsi" w:cs="Tahoma"/>
        </w:rPr>
      </w:pPr>
    </w:p>
    <w:p w14:paraId="3EC52F38"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DB15B00" w14:textId="77777777"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14:paraId="07FCD8CF" w14:textId="77777777"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14:paraId="0A162D7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14:paraId="0FDA941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14:paraId="4F6FB468" w14:textId="77777777"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14:paraId="0B68DE43" w14:textId="77777777"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14:paraId="51237A12" w14:textId="77777777"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590ED430" w14:textId="77777777" w:rsidR="008A6F0A" w:rsidRPr="009E0D80" w:rsidRDefault="008A6F0A" w:rsidP="008A6F0A">
      <w:pPr>
        <w:spacing w:after="0" w:line="240" w:lineRule="auto"/>
        <w:jc w:val="center"/>
        <w:rPr>
          <w:rFonts w:asciiTheme="minorHAnsi" w:hAnsiTheme="minorHAnsi" w:cs="Tahoma"/>
        </w:rPr>
      </w:pPr>
    </w:p>
    <w:p w14:paraId="28EF1280" w14:textId="77777777" w:rsidR="008A6F0A" w:rsidRPr="009E0D80" w:rsidRDefault="008A6F0A" w:rsidP="008A6F0A">
      <w:pPr>
        <w:spacing w:after="0" w:line="240" w:lineRule="auto"/>
        <w:jc w:val="center"/>
        <w:rPr>
          <w:rFonts w:asciiTheme="minorHAnsi" w:hAnsiTheme="minorHAnsi" w:cs="Tahoma"/>
          <w:b/>
        </w:rPr>
      </w:pPr>
    </w:p>
    <w:p w14:paraId="76A582E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469BBFEB"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601E78B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14:paraId="0C098588" w14:textId="77777777" w:rsidR="008A6F0A" w:rsidRPr="00F93947" w:rsidRDefault="008A6F0A" w:rsidP="0049318B">
      <w:pPr>
        <w:pStyle w:val="Odstavecseseznamem"/>
        <w:numPr>
          <w:ilvl w:val="1"/>
          <w:numId w:val="32"/>
        </w:numPr>
        <w:spacing w:after="60" w:line="240" w:lineRule="auto"/>
        <w:ind w:left="567" w:hanging="567"/>
        <w:jc w:val="both"/>
        <w:rPr>
          <w:rFonts w:asciiTheme="minorHAnsi" w:hAnsiTheme="minorHAnsi" w:cs="Tahoma"/>
          <w:sz w:val="20"/>
        </w:rPr>
      </w:pPr>
      <w:r w:rsidRPr="00C4187C">
        <w:rPr>
          <w:rFonts w:asciiTheme="minorHAnsi" w:hAnsiTheme="minorHAnsi" w:cs="Tahoma"/>
          <w:sz w:val="20"/>
        </w:rPr>
        <w:t>Zhotovitel</w:t>
      </w:r>
      <w:r w:rsidRPr="00F93947">
        <w:rPr>
          <w:rFonts w:asciiTheme="minorHAnsi" w:hAnsiTheme="minorHAnsi" w:cs="Tahoma"/>
          <w:sz w:val="20"/>
        </w:rPr>
        <w:t xml:space="preserve"> se </w:t>
      </w:r>
      <w:r w:rsidRPr="00BB0568">
        <w:rPr>
          <w:rFonts w:asciiTheme="minorHAnsi" w:hAnsiTheme="minorHAnsi" w:cs="Tahoma"/>
          <w:sz w:val="20"/>
        </w:rPr>
        <w:t>zavazuje</w:t>
      </w:r>
      <w:r w:rsidRPr="00F93947">
        <w:rPr>
          <w:rFonts w:asciiTheme="minorHAnsi" w:hAnsiTheme="minorHAnsi" w:cs="Tahoma"/>
          <w:sz w:val="20"/>
        </w:rPr>
        <w:t xml:space="preserve"> provést stavební dílo s názvem „</w:t>
      </w:r>
      <w:r w:rsidR="0049318B" w:rsidRPr="0049318B">
        <w:rPr>
          <w:rFonts w:asciiTheme="minorHAnsi" w:hAnsiTheme="minorHAnsi" w:cs="Tahoma"/>
          <w:b/>
          <w:bCs/>
          <w:i/>
          <w:sz w:val="20"/>
        </w:rPr>
        <w:t>Realizace hydraulické clony pomocí ochranného čerpání za monitoringu vývoje kvality podzemních vod</w:t>
      </w:r>
      <w:r w:rsidR="00876E19">
        <w:rPr>
          <w:rFonts w:asciiTheme="minorHAnsi" w:hAnsiTheme="minorHAnsi" w:cs="Tahoma"/>
          <w:sz w:val="20"/>
        </w:rPr>
        <w:t>“</w:t>
      </w:r>
      <w:r w:rsidRPr="00F93947">
        <w:rPr>
          <w:rFonts w:asciiTheme="minorHAnsi" w:hAnsiTheme="minorHAnsi" w:cs="Tahoma"/>
          <w:sz w:val="20"/>
        </w:rPr>
        <w:t xml:space="preserve"> (dále též jako „</w:t>
      </w:r>
      <w:r w:rsidRPr="00F660B9">
        <w:rPr>
          <w:rFonts w:asciiTheme="minorHAnsi" w:hAnsiTheme="minorHAnsi" w:cs="Tahoma"/>
          <w:b/>
          <w:i/>
          <w:sz w:val="20"/>
        </w:rPr>
        <w:t>dílo</w:t>
      </w:r>
      <w:r w:rsidRPr="00F93947">
        <w:rPr>
          <w:rFonts w:asciiTheme="minorHAnsi" w:hAnsiTheme="minorHAnsi" w:cs="Tahoma"/>
          <w:sz w:val="20"/>
        </w:rPr>
        <w:t>“ či „</w:t>
      </w:r>
      <w:r w:rsidRPr="00F660B9">
        <w:rPr>
          <w:rFonts w:asciiTheme="minorHAnsi" w:hAnsiTheme="minorHAnsi" w:cs="Tahoma"/>
          <w:b/>
          <w:i/>
          <w:sz w:val="20"/>
        </w:rPr>
        <w:t>stavba</w:t>
      </w:r>
      <w:r w:rsidRPr="00F93947">
        <w:rPr>
          <w:rFonts w:asciiTheme="minorHAnsi" w:hAnsiTheme="minorHAnsi" w:cs="Tahoma"/>
          <w:sz w:val="20"/>
        </w:rPr>
        <w:t>“) za podmínek stanovených touto smlouvou a jejími přílohami a případnými dodatky.</w:t>
      </w:r>
    </w:p>
    <w:p w14:paraId="64547AB6" w14:textId="77777777"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w:t>
      </w:r>
      <w:r w:rsidR="00F93947" w:rsidRPr="00CD625F">
        <w:rPr>
          <w:rFonts w:asciiTheme="minorHAnsi" w:hAnsiTheme="minorHAnsi" w:cs="Tahoma"/>
          <w:sz w:val="20"/>
          <w:szCs w:val="20"/>
        </w:rPr>
        <w:t xml:space="preserve">projekční </w:t>
      </w:r>
      <w:r w:rsidR="0049318B" w:rsidRPr="0082171E">
        <w:rPr>
          <w:rFonts w:asciiTheme="minorHAnsi" w:hAnsiTheme="minorHAnsi" w:cstheme="minorHAnsi"/>
          <w:color w:val="000000" w:themeColor="text1"/>
          <w:sz w:val="20"/>
          <w:szCs w:val="20"/>
        </w:rPr>
        <w:t>Jiří Šíma, DiS.</w:t>
      </w:r>
      <w:r w:rsidR="0049318B">
        <w:rPr>
          <w:rFonts w:asciiTheme="minorHAnsi" w:hAnsiTheme="minorHAnsi" w:cstheme="minorHAnsi"/>
          <w:color w:val="000000" w:themeColor="text1"/>
          <w:sz w:val="20"/>
          <w:szCs w:val="20"/>
        </w:rPr>
        <w:t xml:space="preserve">, se sídlem </w:t>
      </w:r>
      <w:r w:rsidR="0049318B" w:rsidRPr="0082171E">
        <w:rPr>
          <w:rFonts w:asciiTheme="minorHAnsi" w:hAnsiTheme="minorHAnsi" w:cstheme="minorHAnsi"/>
          <w:color w:val="000000" w:themeColor="text1"/>
          <w:sz w:val="20"/>
          <w:szCs w:val="20"/>
        </w:rPr>
        <w:t>Havlíčkova 1366</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516 01 Rychnov nad Kněžnou</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IČ</w:t>
      </w:r>
      <w:r w:rsidR="0049318B">
        <w:rPr>
          <w:rFonts w:asciiTheme="minorHAnsi" w:hAnsiTheme="minorHAnsi" w:cstheme="minorHAnsi"/>
          <w:color w:val="000000" w:themeColor="text1"/>
          <w:sz w:val="20"/>
          <w:szCs w:val="20"/>
        </w:rPr>
        <w:t>O</w:t>
      </w:r>
      <w:r w:rsidR="0049318B" w:rsidRPr="0082171E">
        <w:rPr>
          <w:rFonts w:asciiTheme="minorHAnsi" w:hAnsiTheme="minorHAnsi" w:cstheme="minorHAnsi"/>
          <w:color w:val="000000" w:themeColor="text1"/>
          <w:sz w:val="20"/>
          <w:szCs w:val="20"/>
        </w:rPr>
        <w:t>: 88769461</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14:paraId="17F47CD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14:paraId="196562ED" w14:textId="74867613"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w:t>
      </w:r>
      <w:r w:rsidR="007C2196">
        <w:rPr>
          <w:rFonts w:asciiTheme="minorHAnsi" w:hAnsiTheme="minorHAnsi" w:cs="Tahoma"/>
          <w:sz w:val="20"/>
        </w:rPr>
        <w:t xml:space="preserve"> se</w:t>
      </w:r>
      <w:r w:rsidRPr="00BB0568">
        <w:rPr>
          <w:rFonts w:asciiTheme="minorHAnsi" w:hAnsiTheme="minorHAnsi" w:cs="Tahoma"/>
          <w:sz w:val="20"/>
        </w:rPr>
        <w:t xml:space="preserve"> všemi skutečnostmi, které by mohly tuto cenu ovlivnit a jako takové je má v ceně započítané. Zhotovitel si je vědom povinnosti zhotovit dílo tak, aby všechny jím instalované stavební či technologické celky byly při předání kompletní a zcela funkční a v souladu s příslušnými ustanoveními platných obecně závazných předpisů a technických norem.</w:t>
      </w:r>
    </w:p>
    <w:p w14:paraId="6190E1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lastRenderedPageBreak/>
        <w:t>Všechny práce a dodávky budou provedeny podle obecně platných předpisů. Všechny práce a dodávky budou rovněž provedeny podle platných technických norem, pokud není projektovou dokumentací nebo písemnou dohodou smluvních stran stanoveno jinak.</w:t>
      </w:r>
    </w:p>
    <w:p w14:paraId="0E234ACA"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14:paraId="7AF8E738"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14:paraId="39CB4641"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14:paraId="46530FA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14:paraId="7B8BF33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14:paraId="42FEBA1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14:paraId="4135928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14:paraId="3F42B87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14:paraId="7DAB268F"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14:paraId="29F335C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14:paraId="726320FB"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14:paraId="5FF52987"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14:paraId="5B47130E" w14:textId="77777777"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14:paraId="50B2F95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14:paraId="7D139494"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7337F124" w14:textId="77777777" w:rsidR="008A6F0A" w:rsidRPr="009E0D80" w:rsidRDefault="008A6F0A" w:rsidP="008A6F0A">
      <w:pPr>
        <w:spacing w:after="0" w:line="240" w:lineRule="auto"/>
        <w:jc w:val="both"/>
        <w:rPr>
          <w:rFonts w:asciiTheme="minorHAnsi" w:hAnsiTheme="minorHAnsi" w:cs="Tahoma"/>
          <w:sz w:val="20"/>
          <w:szCs w:val="20"/>
        </w:rPr>
      </w:pPr>
    </w:p>
    <w:p w14:paraId="442AEA30"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3D6713D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14:paraId="36722316" w14:textId="77777777"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14:paraId="53B8CAFF" w14:textId="77777777"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14:paraId="735087D4" w14:textId="77777777"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7377BF22" w14:textId="77777777"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14:paraId="53EC639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14:paraId="2EB4F1B8"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14:paraId="6EA9E839"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14:paraId="073EBE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14:paraId="0D1A69D4"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14:paraId="495AB4A5"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14:paraId="37D0F47C"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se zjistí skutečnosti, které nebyly v době podpisu smlouvy známy, a zhotovitel je nezavinil, ani je nemohl předvídat a tyto skutečnosti mají vliv na cenu díla;</w:t>
      </w:r>
    </w:p>
    <w:p w14:paraId="66400B04"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14:paraId="41F38DB7" w14:textId="77777777"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lastRenderedPageBreak/>
        <w:t>Změna ceny díla nesmí být provedena v rozporu s příslušnými ustanoveními zákona nebo nesmí touto změnou dojít k podstatné změně práv a povinností vyplývajících ze smlouvy.</w:t>
      </w:r>
    </w:p>
    <w:p w14:paraId="37908996" w14:textId="77777777" w:rsidR="008A6F0A" w:rsidRDefault="008A6F0A" w:rsidP="008A6F0A">
      <w:pPr>
        <w:spacing w:after="0" w:line="240" w:lineRule="auto"/>
        <w:jc w:val="both"/>
        <w:rPr>
          <w:rFonts w:asciiTheme="minorHAnsi" w:hAnsiTheme="minorHAnsi" w:cs="Tahoma"/>
          <w:sz w:val="20"/>
          <w:szCs w:val="20"/>
        </w:rPr>
      </w:pPr>
    </w:p>
    <w:p w14:paraId="3EFB0CBE" w14:textId="77777777"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14:paraId="4024B947" w14:textId="77777777"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14:paraId="5BE4B3FB"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14:paraId="6FD98031"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14:paraId="0617DA1B"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14:paraId="5C16EC7D"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14:paraId="767B5777"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14:paraId="74D76B2F"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14:paraId="0737ED2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1"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1"/>
      <w:r w:rsidRPr="003A59A3">
        <w:rPr>
          <w:rFonts w:asciiTheme="minorHAnsi" w:hAnsiTheme="minorHAnsi" w:cstheme="minorHAnsi"/>
          <w:snapToGrid w:val="0"/>
          <w:color w:val="000000"/>
          <w:sz w:val="20"/>
          <w:szCs w:val="20"/>
        </w:rPr>
        <w:t>ve výši 80 % těchto sborníkových cen.</w:t>
      </w:r>
    </w:p>
    <w:p w14:paraId="0790B2A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14:paraId="5521815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14:paraId="016B989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14:paraId="17C96BE4"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14:paraId="253CC28D"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14:paraId="27006D75"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zpracuje písemný seznam méněprací formou soupisu stavebních prací, dodávek a služeb včetně výkazu výměr, který odsouhlasí s objednatelem;</w:t>
      </w:r>
    </w:p>
    <w:p w14:paraId="5673F59C"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14:paraId="39A24A89"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14:paraId="2212384C" w14:textId="77777777" w:rsidR="006C2946" w:rsidRDefault="006C2946" w:rsidP="008A6F0A">
      <w:pPr>
        <w:spacing w:after="0" w:line="240" w:lineRule="auto"/>
        <w:jc w:val="center"/>
        <w:rPr>
          <w:rFonts w:asciiTheme="minorHAnsi" w:hAnsiTheme="minorHAnsi" w:cs="Tahoma"/>
        </w:rPr>
      </w:pPr>
    </w:p>
    <w:p w14:paraId="30067CE0" w14:textId="77777777" w:rsidR="0049318B" w:rsidRDefault="0049318B" w:rsidP="008A6F0A">
      <w:pPr>
        <w:spacing w:after="0" w:line="240" w:lineRule="auto"/>
        <w:jc w:val="center"/>
        <w:rPr>
          <w:rFonts w:asciiTheme="minorHAnsi" w:hAnsiTheme="minorHAnsi" w:cs="Tahoma"/>
        </w:rPr>
      </w:pPr>
    </w:p>
    <w:p w14:paraId="03F158DF"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5CEB1F07"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14:paraId="43123C57" w14:textId="77777777"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14:paraId="2DA1A58E" w14:textId="1CBBC08F" w:rsidR="00F93947"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F660B9" w:rsidRPr="00930159">
        <w:rPr>
          <w:rFonts w:asciiTheme="minorHAnsi" w:hAnsiTheme="minorHAnsi" w:cs="Tahoma"/>
          <w:b/>
          <w:sz w:val="20"/>
          <w:szCs w:val="20"/>
        </w:rPr>
        <w:t xml:space="preserve">od 1. </w:t>
      </w:r>
      <w:r w:rsidR="005E412D">
        <w:rPr>
          <w:rFonts w:asciiTheme="minorHAnsi" w:hAnsiTheme="minorHAnsi" w:cs="Tahoma"/>
          <w:b/>
          <w:sz w:val="20"/>
          <w:szCs w:val="20"/>
        </w:rPr>
        <w:t>8</w:t>
      </w:r>
      <w:r w:rsidR="00E87409">
        <w:rPr>
          <w:rFonts w:asciiTheme="minorHAnsi" w:hAnsiTheme="minorHAnsi" w:cs="Tahoma"/>
          <w:b/>
          <w:sz w:val="20"/>
          <w:szCs w:val="20"/>
        </w:rPr>
        <w:t xml:space="preserve">. 2022 do </w:t>
      </w:r>
      <w:r w:rsidR="005E412D">
        <w:rPr>
          <w:rFonts w:asciiTheme="minorHAnsi" w:hAnsiTheme="minorHAnsi" w:cs="Tahoma"/>
          <w:b/>
          <w:sz w:val="20"/>
          <w:szCs w:val="20"/>
        </w:rPr>
        <w:t>30</w:t>
      </w:r>
      <w:r w:rsidR="00F660B9" w:rsidRPr="00930159">
        <w:rPr>
          <w:rFonts w:asciiTheme="minorHAnsi" w:hAnsiTheme="minorHAnsi" w:cs="Tahoma"/>
          <w:b/>
          <w:sz w:val="20"/>
          <w:szCs w:val="20"/>
        </w:rPr>
        <w:t xml:space="preserve">. </w:t>
      </w:r>
      <w:r w:rsidR="0049318B">
        <w:rPr>
          <w:rFonts w:asciiTheme="minorHAnsi" w:hAnsiTheme="minorHAnsi" w:cs="Tahoma"/>
          <w:b/>
          <w:sz w:val="20"/>
          <w:szCs w:val="20"/>
        </w:rPr>
        <w:t>1</w:t>
      </w:r>
      <w:r w:rsidR="00E87409">
        <w:rPr>
          <w:rFonts w:asciiTheme="minorHAnsi" w:hAnsiTheme="minorHAnsi" w:cs="Tahoma"/>
          <w:b/>
          <w:sz w:val="20"/>
          <w:szCs w:val="20"/>
        </w:rPr>
        <w:t>1</w:t>
      </w:r>
      <w:r w:rsidR="00F660B9" w:rsidRPr="00930159">
        <w:rPr>
          <w:rFonts w:asciiTheme="minorHAnsi" w:hAnsiTheme="minorHAnsi" w:cs="Tahoma"/>
          <w:b/>
          <w:sz w:val="20"/>
          <w:szCs w:val="20"/>
        </w:rPr>
        <w:t>. 2022</w:t>
      </w:r>
      <w:r w:rsidR="00917E3F" w:rsidRPr="00930159">
        <w:rPr>
          <w:rFonts w:asciiTheme="minorHAnsi" w:hAnsiTheme="minorHAnsi" w:cs="Tahoma"/>
          <w:b/>
          <w:sz w:val="20"/>
          <w:szCs w:val="20"/>
        </w:rPr>
        <w:t xml:space="preserve"> </w:t>
      </w:r>
    </w:p>
    <w:p w14:paraId="2D590B29" w14:textId="77777777" w:rsidR="008A6F0A"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Termín pro dokončení díla je sjednán s vědomím toho, že zahrnuje či může zahrnovat období ztížených klimatických podmínek pro výstavbu.</w:t>
      </w:r>
    </w:p>
    <w:p w14:paraId="4C0DDDD0" w14:textId="7A3CFF12"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 xml:space="preserve">Objednatel předá zhotoviteli staveniště </w:t>
      </w:r>
      <w:r w:rsidR="00A40DAA" w:rsidRPr="00930159">
        <w:rPr>
          <w:rFonts w:asciiTheme="minorHAnsi" w:hAnsiTheme="minorHAnsi" w:cs="Tahoma"/>
          <w:sz w:val="20"/>
          <w:szCs w:val="20"/>
        </w:rPr>
        <w:t xml:space="preserve">dne </w:t>
      </w:r>
      <w:r w:rsidR="00F660B9" w:rsidRPr="00930159">
        <w:rPr>
          <w:rFonts w:asciiTheme="minorHAnsi" w:hAnsiTheme="minorHAnsi" w:cs="Tahoma"/>
          <w:sz w:val="20"/>
          <w:szCs w:val="20"/>
        </w:rPr>
        <w:t>1</w:t>
      </w:r>
      <w:r w:rsidR="00A40DAA" w:rsidRPr="00930159">
        <w:rPr>
          <w:rFonts w:asciiTheme="minorHAnsi" w:hAnsiTheme="minorHAnsi" w:cs="Tahoma"/>
          <w:sz w:val="20"/>
          <w:szCs w:val="20"/>
        </w:rPr>
        <w:t xml:space="preserve">. </w:t>
      </w:r>
      <w:r w:rsidR="00C73A39">
        <w:rPr>
          <w:rFonts w:asciiTheme="minorHAnsi" w:hAnsiTheme="minorHAnsi" w:cs="Tahoma"/>
          <w:sz w:val="20"/>
          <w:szCs w:val="20"/>
        </w:rPr>
        <w:t>8</w:t>
      </w:r>
      <w:bookmarkStart w:id="2" w:name="_GoBack"/>
      <w:bookmarkEnd w:id="2"/>
      <w:r w:rsidR="00A40DAA" w:rsidRPr="00930159">
        <w:rPr>
          <w:rFonts w:asciiTheme="minorHAnsi" w:hAnsiTheme="minorHAnsi" w:cs="Tahoma"/>
          <w:sz w:val="20"/>
          <w:szCs w:val="20"/>
        </w:rPr>
        <w:t>. 202</w:t>
      </w:r>
      <w:r w:rsidR="00F660B9" w:rsidRPr="00930159">
        <w:rPr>
          <w:rFonts w:asciiTheme="minorHAnsi" w:hAnsiTheme="minorHAnsi" w:cs="Tahoma"/>
          <w:sz w:val="20"/>
          <w:szCs w:val="20"/>
        </w:rPr>
        <w:t>2</w:t>
      </w:r>
      <w:r w:rsidRPr="00930159">
        <w:rPr>
          <w:rFonts w:asciiTheme="minorHAnsi" w:hAnsiTheme="minorHAnsi" w:cs="Tahoma"/>
          <w:sz w:val="20"/>
          <w:szCs w:val="20"/>
        </w:rPr>
        <w:t>,</w:t>
      </w:r>
      <w:r w:rsidRPr="005D0C2D">
        <w:rPr>
          <w:rFonts w:asciiTheme="minorHAnsi" w:hAnsiTheme="minorHAnsi" w:cs="Tahoma"/>
          <w:sz w:val="20"/>
          <w:szCs w:val="20"/>
        </w:rPr>
        <w:t xml:space="preserve"> nedohodnou-li se smluvní strany písemně jinak. Zhotovitel je povinen ve lhůtě dle předchozí věty staveniště převzít. O předání a převzetí staveniště vyhotoví smluvní strany zápis.</w:t>
      </w:r>
    </w:p>
    <w:p w14:paraId="4B035E1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14:paraId="5B3C5C0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14:paraId="35A499E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14:paraId="06B0B5F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14:paraId="444295E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14:paraId="497DCDC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14:paraId="7A4D409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14:paraId="00B391CA" w14:textId="77777777"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14:paraId="03EC9707" w14:textId="77777777" w:rsidR="005A3F61" w:rsidRDefault="005A3F61" w:rsidP="008A6F0A">
      <w:pPr>
        <w:spacing w:after="0" w:line="240" w:lineRule="auto"/>
        <w:jc w:val="center"/>
        <w:rPr>
          <w:rFonts w:asciiTheme="minorHAnsi" w:hAnsiTheme="minorHAnsi" w:cs="Tahoma"/>
        </w:rPr>
      </w:pPr>
    </w:p>
    <w:p w14:paraId="266A943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1C457C1" w14:textId="77777777"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14:paraId="44675EE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14:paraId="4CB035D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se při kontrole, že zhotovitel porušuje své povinnosti vyplývající z této smlouvy, může objednatel požadovat, aby zhotovitel zajistil nápravu a prováděl dílo řádným způsobem. </w:t>
      </w:r>
    </w:p>
    <w:p w14:paraId="1F0E008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w:t>
      </w:r>
      <w:r w:rsidRPr="009E0D80">
        <w:rPr>
          <w:rFonts w:asciiTheme="minorHAnsi" w:hAnsiTheme="minorHAnsi" w:cs="Tahoma"/>
          <w:sz w:val="20"/>
          <w:szCs w:val="20"/>
        </w:rPr>
        <w:lastRenderedPageBreak/>
        <w:t>zhotovitele. V případě neoprávněného pozastavení provádění díla je objednatel povinen nahradit zhotoviteli všechny účelně vynaložené náklady spojené s pozastavením provádění díla a jeho následnou činností dle pokynů objednatele.</w:t>
      </w:r>
    </w:p>
    <w:p w14:paraId="7736EDD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14:paraId="114F5728"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14:paraId="2BCF4B5C" w14:textId="77777777" w:rsidR="007A4F36" w:rsidRDefault="007A4F36" w:rsidP="007A4F36">
      <w:pPr>
        <w:pStyle w:val="Odstavecseseznamem"/>
        <w:spacing w:after="60" w:line="240" w:lineRule="auto"/>
        <w:ind w:left="567"/>
        <w:jc w:val="both"/>
        <w:rPr>
          <w:rFonts w:asciiTheme="minorHAnsi" w:hAnsiTheme="minorHAnsi" w:cs="Tahoma"/>
          <w:sz w:val="20"/>
          <w:szCs w:val="20"/>
        </w:rPr>
      </w:pPr>
    </w:p>
    <w:p w14:paraId="4A8ADA3E"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BE363D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14:paraId="6D7A682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14:paraId="0BFB793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14:paraId="4965F7F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14:paraId="67E789E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14:paraId="38A2AA2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14:paraId="53667355" w14:textId="77777777"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14:paraId="1C63639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14:paraId="2BEF636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14:paraId="19C63DD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14:paraId="653E4002" w14:textId="77777777" w:rsidR="008A6F0A" w:rsidRDefault="008A6F0A" w:rsidP="008A6F0A">
      <w:pPr>
        <w:tabs>
          <w:tab w:val="num" w:pos="540"/>
        </w:tabs>
        <w:spacing w:after="0" w:line="240" w:lineRule="auto"/>
        <w:jc w:val="both"/>
        <w:rPr>
          <w:rFonts w:asciiTheme="minorHAnsi" w:hAnsiTheme="minorHAnsi" w:cs="Tahoma"/>
          <w:sz w:val="20"/>
          <w:szCs w:val="20"/>
        </w:rPr>
      </w:pPr>
    </w:p>
    <w:p w14:paraId="202A78B3"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18653B0E" w14:textId="77777777"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14:paraId="7E973B42" w14:textId="77777777"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14:paraId="0AC9558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14:paraId="68E1F98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14:paraId="402E6458"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lastRenderedPageBreak/>
        <w:t xml:space="preserve">Zařízení staveniště předá objednatel zhotoviteli v rozsahu:  </w:t>
      </w:r>
    </w:p>
    <w:p w14:paraId="4ECC5591"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el. energie</w:t>
      </w:r>
    </w:p>
    <w:p w14:paraId="0FFB6E1A"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na vodovod</w:t>
      </w:r>
    </w:p>
    <w:p w14:paraId="3BBB876E"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t>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TDI. Pokud bude zhotovitel odebírat výše uvedené od</w:t>
      </w:r>
      <w:r w:rsidR="003861DE" w:rsidRPr="00EB05A3">
        <w:rPr>
          <w:rFonts w:asciiTheme="minorHAnsi" w:hAnsiTheme="minorHAnsi" w:cs="Tahoma"/>
          <w:sz w:val="20"/>
          <w:szCs w:val="20"/>
        </w:rPr>
        <w:t xml:space="preserve"> 3. osoby </w:t>
      </w:r>
      <w:r w:rsidR="003A59A3" w:rsidRPr="00EB05A3">
        <w:rPr>
          <w:rFonts w:asciiTheme="minorHAnsi" w:hAnsiTheme="minorHAnsi" w:cs="Tahoma"/>
          <w:sz w:val="20"/>
          <w:szCs w:val="20"/>
        </w:rPr>
        <w:t>uzavře</w:t>
      </w:r>
      <w:r w:rsidRPr="00EB05A3">
        <w:rPr>
          <w:rFonts w:asciiTheme="minorHAnsi" w:hAnsiTheme="minorHAnsi" w:cs="Tahoma"/>
          <w:sz w:val="20"/>
          <w:szCs w:val="20"/>
        </w:rPr>
        <w:t xml:space="preserve"> s tímto subjektem písemnou dohodu o způsobu úhrady za jejich odběr.</w:t>
      </w:r>
    </w:p>
    <w:p w14:paraId="2447525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14:paraId="5F2EA31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14:paraId="1B3411E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14:paraId="37A0D0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14:paraId="2F6A72D9" w14:textId="77777777" w:rsidR="008A6F0A" w:rsidRPr="009E0D80" w:rsidRDefault="008A6F0A" w:rsidP="008A6F0A">
      <w:pPr>
        <w:spacing w:after="0" w:line="240" w:lineRule="auto"/>
        <w:jc w:val="center"/>
        <w:rPr>
          <w:rFonts w:asciiTheme="minorHAnsi" w:hAnsiTheme="minorHAnsi" w:cs="Tahoma"/>
        </w:rPr>
      </w:pPr>
    </w:p>
    <w:p w14:paraId="21C4ADD9" w14:textId="77777777" w:rsidR="008A6F0A" w:rsidRPr="009E0D80" w:rsidRDefault="008A6F0A" w:rsidP="008A6F0A">
      <w:pPr>
        <w:spacing w:after="0" w:line="240" w:lineRule="auto"/>
        <w:jc w:val="center"/>
        <w:rPr>
          <w:rFonts w:asciiTheme="minorHAnsi" w:hAnsiTheme="minorHAnsi" w:cs="Tahoma"/>
        </w:rPr>
      </w:pPr>
    </w:p>
    <w:p w14:paraId="114E2E75"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7F59030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14:paraId="14D75E5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14:paraId="254C29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14:paraId="75D43B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69FA7D8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14:paraId="49AE8586"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3" w:name="_Ref435456091"/>
    </w:p>
    <w:p w14:paraId="47454B95"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14:paraId="48716E2B"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3"/>
    <w:p w14:paraId="429C35B2"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14:paraId="7DC4D1D7" w14:textId="41444E8E"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w:t>
      </w:r>
      <w:r w:rsidRPr="00930159">
        <w:rPr>
          <w:rFonts w:asciiTheme="minorHAnsi" w:hAnsiTheme="minorHAnsi" w:cs="Tahoma"/>
          <w:sz w:val="20"/>
          <w:szCs w:val="20"/>
        </w:rPr>
        <w:t>odpovědnosti za škodu způsobenou při výkonu své činnosti třetím osobám s pojistným plněním ve výši nejméně</w:t>
      </w:r>
      <w:r w:rsidRPr="00EB05A3">
        <w:rPr>
          <w:rFonts w:asciiTheme="minorHAnsi" w:hAnsiTheme="minorHAnsi" w:cs="Tahoma"/>
          <w:sz w:val="20"/>
          <w:szCs w:val="20"/>
        </w:rPr>
        <w:t xml:space="preserve"> </w:t>
      </w:r>
      <w:r w:rsidR="007C2196" w:rsidRPr="00EB05A3">
        <w:rPr>
          <w:rFonts w:asciiTheme="minorHAnsi" w:hAnsiTheme="minorHAnsi" w:cs="Tahoma"/>
          <w:sz w:val="20"/>
          <w:szCs w:val="20"/>
        </w:rPr>
        <w:t>2 </w:t>
      </w:r>
      <w:r w:rsidRPr="00EB05A3">
        <w:rPr>
          <w:rFonts w:asciiTheme="minorHAnsi" w:hAnsiTheme="minorHAnsi" w:cs="Tahoma"/>
          <w:sz w:val="20"/>
          <w:szCs w:val="20"/>
        </w:rPr>
        <w:t xml:space="preserve">000 000,- </w:t>
      </w:r>
      <w:r w:rsidRPr="00930159">
        <w:rPr>
          <w:rFonts w:asciiTheme="minorHAnsi" w:hAnsiTheme="minorHAnsi" w:cs="Tahoma"/>
          <w:sz w:val="20"/>
          <w:szCs w:val="20"/>
        </w:rPr>
        <w:t>Kč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w:t>
      </w:r>
      <w:r w:rsidRPr="009E0D80">
        <w:rPr>
          <w:rFonts w:asciiTheme="minorHAnsi" w:hAnsiTheme="minorHAnsi" w:cs="Tahoma"/>
          <w:sz w:val="20"/>
          <w:szCs w:val="20"/>
        </w:rPr>
        <w:t xml:space="preserve"> být označen jako její příloha. Porušení kterékoliv povinnosti uvedené v tomto odstavci je podstatným porušením této smlouvy.</w:t>
      </w:r>
    </w:p>
    <w:p w14:paraId="02B31FB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14:paraId="2CD38312" w14:textId="77777777"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14:paraId="4958251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14:paraId="559445F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14:paraId="344BECD1"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14:paraId="5FC8E597" w14:textId="77777777"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14:paraId="391CBFA0" w14:textId="77777777" w:rsidR="00A40DAA" w:rsidRDefault="00A40DAA" w:rsidP="007A4F36">
      <w:pPr>
        <w:pStyle w:val="Odstavecseseznamem"/>
        <w:spacing w:after="0" w:line="240" w:lineRule="auto"/>
        <w:ind w:left="360"/>
        <w:rPr>
          <w:rFonts w:asciiTheme="minorHAnsi" w:hAnsiTheme="minorHAnsi" w:cs="Tahoma"/>
          <w:b/>
        </w:rPr>
      </w:pPr>
    </w:p>
    <w:p w14:paraId="1EF03AF0" w14:textId="77777777" w:rsidR="00A40DAA" w:rsidRPr="00BB0568" w:rsidRDefault="00A40DAA" w:rsidP="007A4F36">
      <w:pPr>
        <w:pStyle w:val="Odstavecseseznamem"/>
        <w:spacing w:after="0" w:line="240" w:lineRule="auto"/>
        <w:ind w:left="360"/>
        <w:rPr>
          <w:rFonts w:asciiTheme="minorHAnsi" w:hAnsiTheme="minorHAnsi" w:cs="Tahoma"/>
          <w:b/>
        </w:rPr>
      </w:pPr>
    </w:p>
    <w:p w14:paraId="0111CC8D"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2E0FC04" w14:textId="77777777"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14:paraId="2C30E1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II této smlouvy. Záruční jakostí díla podle této smlouvy je 1. jakostní třída díla a každé jeho části při obvyklém způsobu užívání díla, a to po celou dobu záruky za jakost. Zhotovitel poskytuje objednateli záruku za to, že dílo bude po celou dobu záruky za jakost způsobilé k užívání za účelem, uvedeným v této smlouvě.</w:t>
      </w:r>
    </w:p>
    <w:p w14:paraId="6A3B316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14:paraId="7BE351D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14:paraId="5AC85CCE"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14:paraId="539D3CA7"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lastRenderedPageBreak/>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14:paraId="522CA922"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14:paraId="16616EB9"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14:paraId="32E15BDE"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14:paraId="0A8E1105"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14:paraId="072F973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14:paraId="47C95E91" w14:textId="77777777"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14:paraId="133DB9FE" w14:textId="77777777"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14:paraId="42150C88" w14:textId="77777777" w:rsidR="004522E3" w:rsidRDefault="004522E3" w:rsidP="004522E3">
      <w:pPr>
        <w:spacing w:after="60" w:line="240" w:lineRule="auto"/>
        <w:jc w:val="both"/>
        <w:rPr>
          <w:rFonts w:asciiTheme="minorHAnsi" w:hAnsiTheme="minorHAnsi" w:cs="Tahoma"/>
          <w:sz w:val="20"/>
          <w:szCs w:val="20"/>
        </w:rPr>
      </w:pPr>
    </w:p>
    <w:p w14:paraId="3C8E8D48"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3CECEC2"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6FDECCE1"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14:paraId="5166BCDD" w14:textId="77777777"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14:paraId="6D683E21"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14:paraId="53245BA4"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14:paraId="34DC92E6"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0CFC3FC0"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44265316"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14:paraId="0D4E3E86" w14:textId="77777777"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14:paraId="0DC151C1" w14:textId="77777777"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14:paraId="4C6A1FFF" w14:textId="77777777"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lastRenderedPageBreak/>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14:paraId="1E5A4D09" w14:textId="77777777" w:rsidR="00B35D12" w:rsidRPr="00930159"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rPr>
        <w:t>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pozdějších předpisů (dále jen „</w:t>
      </w:r>
      <w:r w:rsidRPr="00930159">
        <w:rPr>
          <w:rFonts w:asciiTheme="minorHAnsi" w:hAnsiTheme="minorHAnsi" w:cs="Tahoma"/>
          <w:b/>
          <w:i/>
          <w:sz w:val="20"/>
        </w:rPr>
        <w:t>ZDPH</w:t>
      </w:r>
      <w:r w:rsidRPr="00930159">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14:paraId="094A0C1E" w14:textId="77777777" w:rsidR="009B2104" w:rsidRPr="009B2104" w:rsidRDefault="009B2104" w:rsidP="009B2104">
      <w:pPr>
        <w:spacing w:after="60" w:line="240" w:lineRule="auto"/>
        <w:jc w:val="both"/>
        <w:rPr>
          <w:rFonts w:asciiTheme="minorHAnsi" w:hAnsiTheme="minorHAnsi" w:cs="Tahoma"/>
          <w:sz w:val="20"/>
          <w:szCs w:val="20"/>
        </w:rPr>
      </w:pPr>
    </w:p>
    <w:p w14:paraId="78BF9710"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69133B8B" w14:textId="77777777"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14:paraId="21E031B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14:paraId="30E01ABD"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14:paraId="206E95A9"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14:paraId="4D70356F"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14:paraId="64BEB04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14:paraId="027D5C2E"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14:paraId="1E45EFA9"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14:paraId="7C07DA8B"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14:paraId="5458078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14:paraId="5025716D" w14:textId="77777777"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14:paraId="477D42F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14:paraId="2B7E7B1C" w14:textId="77777777"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14:paraId="2E45AD4D"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14:paraId="42162B6E" w14:textId="77777777" w:rsidR="00814E25" w:rsidRPr="009E0D80" w:rsidRDefault="00814E25" w:rsidP="008A6F0A">
      <w:pPr>
        <w:spacing w:after="60"/>
        <w:jc w:val="both"/>
        <w:rPr>
          <w:rFonts w:asciiTheme="minorHAnsi" w:hAnsiTheme="minorHAnsi" w:cs="Tahoma"/>
          <w:color w:val="FF0000"/>
          <w:sz w:val="20"/>
          <w:szCs w:val="20"/>
        </w:rPr>
      </w:pPr>
    </w:p>
    <w:p w14:paraId="678CE73C"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38FE58E" w14:textId="77777777"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14:paraId="62663C9E"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14:paraId="073076E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Dodatky se pořadově číslují.</w:t>
      </w:r>
    </w:p>
    <w:p w14:paraId="694E5F45" w14:textId="77777777"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14:paraId="7EA9D4B8" w14:textId="77777777" w:rsidR="00832A63" w:rsidRPr="009E0D80" w:rsidRDefault="00832A63" w:rsidP="00832A63">
      <w:pPr>
        <w:pStyle w:val="Odstavecseseznamem"/>
        <w:spacing w:after="0" w:line="240" w:lineRule="auto"/>
        <w:ind w:left="360"/>
        <w:rPr>
          <w:rFonts w:asciiTheme="minorHAnsi" w:hAnsiTheme="minorHAnsi" w:cs="Tahoma"/>
        </w:rPr>
      </w:pPr>
    </w:p>
    <w:p w14:paraId="5452A44F"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14:paraId="0176422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14:paraId="30D437F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14:paraId="587302B9" w14:textId="77777777"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14:paraId="4F3C674F" w14:textId="77777777" w:rsidR="008A6F0A" w:rsidRPr="009E0D80" w:rsidRDefault="008A6F0A" w:rsidP="008A6F0A">
      <w:pPr>
        <w:spacing w:after="60"/>
        <w:jc w:val="both"/>
        <w:rPr>
          <w:rFonts w:asciiTheme="minorHAnsi" w:hAnsiTheme="minorHAnsi" w:cs="Tahoma"/>
          <w:color w:val="FF0000"/>
          <w:sz w:val="20"/>
          <w:szCs w:val="20"/>
        </w:rPr>
      </w:pPr>
    </w:p>
    <w:p w14:paraId="5B5419AA"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469720A" w14:textId="77777777"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14:paraId="1C48B6F6"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14:paraId="2C9FC03A"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14:paraId="079E4824"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14:paraId="5E42431A" w14:textId="77777777"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14:paraId="2F1514DD" w14:textId="77777777"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br/>
      </w:r>
      <w:r w:rsidRPr="009E0D80">
        <w:rPr>
          <w:rFonts w:asciiTheme="minorHAnsi" w:hAnsiTheme="minorHAnsi" w:cs="Tahoma"/>
          <w:b/>
          <w:sz w:val="24"/>
          <w:szCs w:val="24"/>
          <w:lang w:eastAsia="cs-CZ"/>
        </w:rPr>
        <w:t>Závěrečná ustanovení</w:t>
      </w:r>
      <w:bookmarkStart w:id="4" w:name="OLE_LINK1"/>
    </w:p>
    <w:p w14:paraId="56CE22A6" w14:textId="77777777" w:rsidR="00635D55" w:rsidRPr="009E0D80" w:rsidRDefault="00635D55" w:rsidP="00635D55">
      <w:pPr>
        <w:pStyle w:val="Odstavecseseznamem"/>
        <w:spacing w:after="0" w:line="240" w:lineRule="auto"/>
        <w:ind w:left="360"/>
        <w:rPr>
          <w:rFonts w:asciiTheme="minorHAnsi" w:hAnsiTheme="minorHAnsi" w:cs="Tahoma"/>
        </w:rPr>
      </w:pPr>
    </w:p>
    <w:bookmarkEnd w:id="4"/>
    <w:p w14:paraId="3D14154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4680BF2C"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432E349"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14:paraId="3F463B5D" w14:textId="77777777"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14:paraId="0460427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14:paraId="7BE1B2DA" w14:textId="77777777"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C97522E" w14:textId="77777777" w:rsidR="008A6F0A" w:rsidRPr="009E0D80" w:rsidRDefault="008A6F0A" w:rsidP="008A6F0A">
      <w:pPr>
        <w:spacing w:after="0" w:line="240" w:lineRule="auto"/>
        <w:jc w:val="center"/>
        <w:rPr>
          <w:rFonts w:asciiTheme="minorHAnsi" w:hAnsiTheme="minorHAnsi" w:cs="Tahoma"/>
          <w:sz w:val="20"/>
          <w:szCs w:val="20"/>
        </w:rPr>
      </w:pPr>
    </w:p>
    <w:p w14:paraId="74386149" w14:textId="77777777" w:rsidR="008A6F0A" w:rsidRDefault="008A6F0A" w:rsidP="008A6F0A">
      <w:pPr>
        <w:spacing w:after="0" w:line="240" w:lineRule="auto"/>
        <w:rPr>
          <w:rFonts w:asciiTheme="minorHAnsi" w:hAnsiTheme="minorHAnsi" w:cs="Tahoma"/>
          <w:color w:val="FF0000"/>
          <w:sz w:val="20"/>
          <w:szCs w:val="20"/>
          <w:highlight w:val="yellow"/>
        </w:rPr>
      </w:pPr>
    </w:p>
    <w:p w14:paraId="31F91EAA" w14:textId="77777777" w:rsidR="0049318B" w:rsidRPr="009E0D80" w:rsidRDefault="0049318B" w:rsidP="008A6F0A">
      <w:pPr>
        <w:spacing w:after="0" w:line="240" w:lineRule="auto"/>
        <w:rPr>
          <w:rFonts w:asciiTheme="minorHAnsi" w:hAnsiTheme="minorHAnsi" w:cs="Tahoma"/>
          <w:color w:val="FF0000"/>
          <w:sz w:val="20"/>
          <w:szCs w:val="20"/>
          <w:highlight w:val="yellow"/>
        </w:rPr>
      </w:pPr>
    </w:p>
    <w:p w14:paraId="3D1A1E06" w14:textId="77777777"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lastRenderedPageBreak/>
        <w:t xml:space="preserve">Přílohy: </w:t>
      </w:r>
    </w:p>
    <w:p w14:paraId="2DFEA3D9" w14:textId="77777777"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14:paraId="1CE0833E" w14:textId="77777777" w:rsidR="007A4F36" w:rsidRDefault="007A4F36" w:rsidP="007A4F36">
      <w:pPr>
        <w:spacing w:after="0" w:line="240" w:lineRule="auto"/>
        <w:jc w:val="both"/>
        <w:rPr>
          <w:rFonts w:asciiTheme="minorHAnsi" w:hAnsiTheme="minorHAnsi" w:cs="Tahoma"/>
          <w:sz w:val="20"/>
          <w:szCs w:val="20"/>
        </w:rPr>
      </w:pPr>
    </w:p>
    <w:p w14:paraId="6C1798F8" w14:textId="77777777" w:rsidR="007A4F36" w:rsidRDefault="007A4F36" w:rsidP="007A4F36">
      <w:pPr>
        <w:spacing w:after="0" w:line="240" w:lineRule="auto"/>
        <w:jc w:val="both"/>
        <w:rPr>
          <w:rFonts w:asciiTheme="minorHAnsi" w:hAnsiTheme="minorHAnsi" w:cs="Tahoma"/>
          <w:sz w:val="20"/>
          <w:szCs w:val="20"/>
        </w:rPr>
      </w:pPr>
    </w:p>
    <w:p w14:paraId="60544BD1"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07151041" w14:textId="77777777" w:rsidTr="00015F61">
        <w:tc>
          <w:tcPr>
            <w:tcW w:w="4219" w:type="dxa"/>
          </w:tcPr>
          <w:p w14:paraId="1CED7628"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5CDA9F37"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A1AF425"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2BCBAF6" w14:textId="77777777" w:rsidTr="00015F61">
        <w:trPr>
          <w:trHeight w:val="1588"/>
        </w:trPr>
        <w:tc>
          <w:tcPr>
            <w:tcW w:w="4219" w:type="dxa"/>
            <w:tcBorders>
              <w:bottom w:val="single" w:sz="4" w:space="0" w:color="auto"/>
            </w:tcBorders>
          </w:tcPr>
          <w:p w14:paraId="4E1D34CD" w14:textId="77777777" w:rsidR="00015F61" w:rsidRPr="002009EE" w:rsidRDefault="00015F61" w:rsidP="00070E9B">
            <w:pPr>
              <w:pStyle w:val="Normlnweb"/>
              <w:spacing w:line="276" w:lineRule="auto"/>
              <w:jc w:val="both"/>
              <w:rPr>
                <w:rFonts w:ascii="Calibri" w:hAnsi="Calibri" w:cs="Tahoma"/>
                <w:sz w:val="20"/>
                <w:szCs w:val="20"/>
              </w:rPr>
            </w:pPr>
          </w:p>
          <w:p w14:paraId="517F763C"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1E7CCDE"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54AB17CB"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31EAA090" w14:textId="77777777" w:rsidTr="00015F61">
        <w:tc>
          <w:tcPr>
            <w:tcW w:w="4219" w:type="dxa"/>
            <w:tcBorders>
              <w:top w:val="single" w:sz="4" w:space="0" w:color="auto"/>
            </w:tcBorders>
          </w:tcPr>
          <w:p w14:paraId="5D5D3EA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14:paraId="5D38FA29"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6DE1D5E7" w14:textId="77777777"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14:paraId="0BD7E50C"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747AC703"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2531AD23" w14:textId="77777777"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14:paraId="7DCBD2AE"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0F5E5B8B"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11E8F94" w14:textId="77777777" w:rsidR="00B5500F" w:rsidRPr="009E0D80" w:rsidRDefault="00A6488A" w:rsidP="00015F61">
      <w:pPr>
        <w:spacing w:after="0" w:line="240" w:lineRule="auto"/>
        <w:rPr>
          <w:rFonts w:asciiTheme="minorHAnsi" w:hAnsiTheme="minorHAnsi"/>
        </w:rPr>
      </w:pPr>
    </w:p>
    <w:sectPr w:rsidR="00B5500F" w:rsidRPr="009E0D80" w:rsidSect="0049318B">
      <w:headerReference w:type="default" r:id="rId9"/>
      <w:headerReference w:type="first" r:id="rId10"/>
      <w:pgSz w:w="11906" w:h="16838"/>
      <w:pgMar w:top="1677" w:right="707" w:bottom="1417" w:left="1417" w:header="28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17D06B" w15:done="0"/>
  <w15:commentEx w15:paraId="47A36E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7057F" w14:textId="77777777" w:rsidR="00A6488A" w:rsidRDefault="00A6488A" w:rsidP="009E0D80">
      <w:pPr>
        <w:spacing w:after="0" w:line="240" w:lineRule="auto"/>
      </w:pPr>
      <w:r>
        <w:separator/>
      </w:r>
    </w:p>
  </w:endnote>
  <w:endnote w:type="continuationSeparator" w:id="0">
    <w:p w14:paraId="79797D4C" w14:textId="77777777" w:rsidR="00A6488A" w:rsidRDefault="00A6488A"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77603" w14:textId="77777777" w:rsidR="00A6488A" w:rsidRDefault="00A6488A" w:rsidP="009E0D80">
      <w:pPr>
        <w:spacing w:after="0" w:line="240" w:lineRule="auto"/>
      </w:pPr>
      <w:r>
        <w:separator/>
      </w:r>
    </w:p>
  </w:footnote>
  <w:footnote w:type="continuationSeparator" w:id="0">
    <w:p w14:paraId="7E6864ED" w14:textId="77777777" w:rsidR="00A6488A" w:rsidRDefault="00A6488A"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38D51" w14:textId="77777777" w:rsidR="009E0D80" w:rsidRDefault="009E0D80">
    <w:pPr>
      <w:pStyle w:val="Zhlav"/>
    </w:pPr>
  </w:p>
  <w:p w14:paraId="4DB151FD"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47AE"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1147898E" wp14:editId="0074B786">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18B1463B" wp14:editId="63E001E6">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69A6BFD7"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14:paraId="3D1A8EF2"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EEAACB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BF090F1"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66F54AAF" w14:textId="77777777"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ček Jan">
    <w15:presenceInfo w15:providerId="AD" w15:userId="S-1-5-21-2176391439-1292727824-4256729805-12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6CC5"/>
    <w:rsid w:val="000A4F77"/>
    <w:rsid w:val="000A7C21"/>
    <w:rsid w:val="000F1C95"/>
    <w:rsid w:val="00116A83"/>
    <w:rsid w:val="001858C0"/>
    <w:rsid w:val="001A52E5"/>
    <w:rsid w:val="001A5D77"/>
    <w:rsid w:val="001C04FB"/>
    <w:rsid w:val="001D7815"/>
    <w:rsid w:val="00204245"/>
    <w:rsid w:val="00250248"/>
    <w:rsid w:val="00253F30"/>
    <w:rsid w:val="002B754E"/>
    <w:rsid w:val="002E4A59"/>
    <w:rsid w:val="00307D2D"/>
    <w:rsid w:val="003519C9"/>
    <w:rsid w:val="00361950"/>
    <w:rsid w:val="0037344C"/>
    <w:rsid w:val="0038039A"/>
    <w:rsid w:val="003861DE"/>
    <w:rsid w:val="00394E46"/>
    <w:rsid w:val="00397BF9"/>
    <w:rsid w:val="003A59A3"/>
    <w:rsid w:val="003C1A71"/>
    <w:rsid w:val="003C239E"/>
    <w:rsid w:val="004522E3"/>
    <w:rsid w:val="00483AF9"/>
    <w:rsid w:val="004922B2"/>
    <w:rsid w:val="0049318B"/>
    <w:rsid w:val="00496FF0"/>
    <w:rsid w:val="004E3D26"/>
    <w:rsid w:val="00504A5A"/>
    <w:rsid w:val="005204F8"/>
    <w:rsid w:val="0058330B"/>
    <w:rsid w:val="005A3F61"/>
    <w:rsid w:val="005A4FD1"/>
    <w:rsid w:val="005A7820"/>
    <w:rsid w:val="005E412D"/>
    <w:rsid w:val="00606B43"/>
    <w:rsid w:val="00633F9E"/>
    <w:rsid w:val="00635D55"/>
    <w:rsid w:val="006673BA"/>
    <w:rsid w:val="0069141E"/>
    <w:rsid w:val="006B1F3E"/>
    <w:rsid w:val="006B62ED"/>
    <w:rsid w:val="006C2946"/>
    <w:rsid w:val="00701C7C"/>
    <w:rsid w:val="007A4951"/>
    <w:rsid w:val="007A4F36"/>
    <w:rsid w:val="007B7937"/>
    <w:rsid w:val="007C2196"/>
    <w:rsid w:val="007C5C05"/>
    <w:rsid w:val="007C6269"/>
    <w:rsid w:val="007F14F2"/>
    <w:rsid w:val="008022A4"/>
    <w:rsid w:val="00814E25"/>
    <w:rsid w:val="00822A0C"/>
    <w:rsid w:val="00830CC2"/>
    <w:rsid w:val="00832A63"/>
    <w:rsid w:val="00876E19"/>
    <w:rsid w:val="00880765"/>
    <w:rsid w:val="008862BC"/>
    <w:rsid w:val="008A6F0A"/>
    <w:rsid w:val="008C2786"/>
    <w:rsid w:val="008C6330"/>
    <w:rsid w:val="008D3B00"/>
    <w:rsid w:val="00915D98"/>
    <w:rsid w:val="00917E3F"/>
    <w:rsid w:val="00930159"/>
    <w:rsid w:val="009B2104"/>
    <w:rsid w:val="009E0D80"/>
    <w:rsid w:val="00A32548"/>
    <w:rsid w:val="00A40247"/>
    <w:rsid w:val="00A40DAA"/>
    <w:rsid w:val="00A6488A"/>
    <w:rsid w:val="00A734C7"/>
    <w:rsid w:val="00A82A4F"/>
    <w:rsid w:val="00A850D6"/>
    <w:rsid w:val="00A9166D"/>
    <w:rsid w:val="00AC7416"/>
    <w:rsid w:val="00B1322B"/>
    <w:rsid w:val="00B147C2"/>
    <w:rsid w:val="00B35D12"/>
    <w:rsid w:val="00B41D0C"/>
    <w:rsid w:val="00B41EB5"/>
    <w:rsid w:val="00B75476"/>
    <w:rsid w:val="00BA574C"/>
    <w:rsid w:val="00BB0568"/>
    <w:rsid w:val="00BC23A2"/>
    <w:rsid w:val="00BD2485"/>
    <w:rsid w:val="00BE7232"/>
    <w:rsid w:val="00C4187C"/>
    <w:rsid w:val="00C529BA"/>
    <w:rsid w:val="00C6035D"/>
    <w:rsid w:val="00C73A39"/>
    <w:rsid w:val="00CB24F6"/>
    <w:rsid w:val="00CE4429"/>
    <w:rsid w:val="00CE54CB"/>
    <w:rsid w:val="00CE733F"/>
    <w:rsid w:val="00D2400E"/>
    <w:rsid w:val="00D407BC"/>
    <w:rsid w:val="00D66FBD"/>
    <w:rsid w:val="00D845C6"/>
    <w:rsid w:val="00DD3DFC"/>
    <w:rsid w:val="00DE01AB"/>
    <w:rsid w:val="00DE4D90"/>
    <w:rsid w:val="00E05329"/>
    <w:rsid w:val="00E115DB"/>
    <w:rsid w:val="00E26442"/>
    <w:rsid w:val="00E736B4"/>
    <w:rsid w:val="00E8526C"/>
    <w:rsid w:val="00E87409"/>
    <w:rsid w:val="00E93515"/>
    <w:rsid w:val="00EB05A3"/>
    <w:rsid w:val="00EC34B6"/>
    <w:rsid w:val="00F0146C"/>
    <w:rsid w:val="00F36AC9"/>
    <w:rsid w:val="00F61AFC"/>
    <w:rsid w:val="00F660B9"/>
    <w:rsid w:val="00F75A00"/>
    <w:rsid w:val="00F93947"/>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1DB1-BB50-43E3-BF63-2B539C584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6000</Words>
  <Characters>35400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4</cp:revision>
  <dcterms:created xsi:type="dcterms:W3CDTF">2022-05-31T12:17:00Z</dcterms:created>
  <dcterms:modified xsi:type="dcterms:W3CDTF">2022-06-22T08:12:00Z</dcterms:modified>
</cp:coreProperties>
</file>